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0"/>
        <w:rPr>
          <w:rFonts w:hint="default" w:ascii="黑体" w:hAnsi="黑体" w:eastAsia="黑体" w:cs="黑体"/>
          <w:sz w:val="32"/>
          <w:szCs w:val="48"/>
          <w:lang w:val="en-US" w:eastAsia="zh-CN"/>
        </w:rPr>
      </w:pPr>
      <w:r>
        <w:rPr>
          <w:rFonts w:hint="eastAsia" w:ascii="黑体" w:hAnsi="黑体" w:eastAsia="黑体" w:cs="黑体"/>
          <w:sz w:val="32"/>
          <w:szCs w:val="48"/>
          <w:lang w:eastAsia="zh-CN"/>
        </w:rPr>
        <w:t>附件</w:t>
      </w:r>
      <w:r>
        <w:rPr>
          <w:rFonts w:hint="eastAsia" w:ascii="黑体" w:hAnsi="黑体" w:eastAsia="黑体" w:cs="黑体"/>
          <w:sz w:val="32"/>
          <w:szCs w:val="48"/>
          <w:lang w:val="en-US" w:eastAsia="zh-CN"/>
        </w:rPr>
        <w:t>2</w:t>
      </w:r>
    </w:p>
    <w:p>
      <w:pPr>
        <w:snapToGrid w:val="0"/>
        <w:spacing w:line="300" w:lineRule="exact"/>
        <w:rPr>
          <w:rFonts w:ascii="黑体" w:hAnsi="黑体" w:eastAsia="黑体"/>
          <w:szCs w:val="32"/>
        </w:rPr>
      </w:pPr>
    </w:p>
    <w:p>
      <w:pPr>
        <w:spacing w:line="594" w:lineRule="exact"/>
        <w:jc w:val="center"/>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lang w:eastAsia="zh-CN"/>
        </w:rPr>
        <w:t>部分</w:t>
      </w:r>
      <w:r>
        <w:rPr>
          <w:rFonts w:hint="eastAsia" w:ascii="方正小标宋简体" w:eastAsia="方正小标宋简体"/>
          <w:spacing w:val="-12"/>
          <w:sz w:val="44"/>
          <w:szCs w:val="44"/>
        </w:rPr>
        <w:t>不合格项目小知识</w:t>
      </w:r>
    </w:p>
    <w:p>
      <w:pPr>
        <w:spacing w:line="594" w:lineRule="exact"/>
        <w:jc w:val="center"/>
        <w:outlineLvl w:val="9"/>
        <w:rPr>
          <w:rFonts w:hint="eastAsia" w:ascii="方正小标宋简体" w:eastAsia="方正小标宋简体"/>
          <w:spacing w:val="-12"/>
          <w:sz w:val="44"/>
          <w:szCs w:val="44"/>
          <w:lang w:val="en-US"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default" w:ascii="黑体" w:eastAsia="黑体"/>
          <w:sz w:val="32"/>
          <w:szCs w:val="32"/>
          <w:lang w:val="en-US" w:eastAsia="zh-CN" w:bidi="ar"/>
        </w:rPr>
      </w:pPr>
      <w:r>
        <w:rPr>
          <w:rFonts w:hint="eastAsia" w:ascii="黑体" w:hAnsi="黑体" w:eastAsia="黑体" w:cs="黑体"/>
          <w:sz w:val="32"/>
          <w:szCs w:val="32"/>
        </w:rPr>
        <w:t>铝的残留量(干样品，以Al计)</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硫酸铝钾(</w:t>
      </w:r>
      <w:r>
        <w:rPr>
          <w:rFonts w:hint="default" w:ascii="Times New Roman" w:hAnsi="Times New Roman" w:eastAsia="仿宋_GB2312" w:cs="Times New Roman"/>
          <w:sz w:val="32"/>
          <w:szCs w:val="32"/>
          <w:highlight w:val="none"/>
          <w:lang w:val="en-US" w:eastAsia="zh-CN"/>
        </w:rPr>
        <w:t>又名钾明矾),硫酸铝铵(又名铵明矾)</w:t>
      </w:r>
      <w:r>
        <w:rPr>
          <w:rFonts w:hint="eastAsia" w:ascii="Times New Roman" w:hAnsi="Times New Roman" w:eastAsia="仿宋_GB2312" w:cs="Times New Roman"/>
          <w:sz w:val="32"/>
          <w:szCs w:val="32"/>
          <w:highlight w:val="none"/>
          <w:lang w:val="en-US" w:eastAsia="zh-CN"/>
        </w:rPr>
        <w:t>是食品加工常用的膨松剂和稳定剂，使用后产生铝残留。在传统粉丝粉条加工过程中，添加硫酸铝钾（明矾）可以提高粉丝的韧性，减少断条损失。硫酸铝钾的添加会造成粉丝粉条中铝残留。</w:t>
      </w:r>
      <w:r>
        <w:rPr>
          <w:rFonts w:hint="eastAsia" w:ascii="仿宋" w:hAnsi="仿宋" w:eastAsia="仿宋" w:cs="仿宋"/>
          <w:kern w:val="2"/>
          <w:sz w:val="32"/>
          <w:szCs w:val="32"/>
          <w:lang w:val="en-US" w:eastAsia="zh-CN" w:bidi="ar-SA"/>
        </w:rPr>
        <w:t>按照</w:t>
      </w:r>
      <w:r>
        <w:rPr>
          <w:rFonts w:hint="eastAsia" w:ascii="Times New Roman" w:hAnsi="Times New Roman" w:eastAsia="仿宋_GB2312" w:cs="Times New Roman"/>
          <w:sz w:val="32"/>
          <w:szCs w:val="32"/>
          <w:highlight w:val="none"/>
          <w:lang w:val="en-US" w:eastAsia="zh-CN"/>
        </w:rPr>
        <w:t>《食品安全国家标准 食品添加剂使用标准》（GB 2760-2014）中规定，粉丝、粉条中</w:t>
      </w:r>
      <w:r>
        <w:rPr>
          <w:rFonts w:hint="eastAsia" w:ascii="仿宋" w:hAnsi="仿宋" w:eastAsia="仿宋" w:cs="仿宋"/>
          <w:color w:val="auto"/>
          <w:kern w:val="2"/>
          <w:sz w:val="32"/>
          <w:szCs w:val="32"/>
          <w:highlight w:val="none"/>
          <w:lang w:val="en-US" w:eastAsia="zh-CN" w:bidi="ar-SA"/>
        </w:rPr>
        <w:t>铝的残留量（干样品，以Al计）限量值为</w:t>
      </w:r>
      <w:r>
        <w:rPr>
          <w:rFonts w:hint="eastAsia" w:ascii="Times New Roman" w:hAnsi="Times New Roman" w:eastAsia="仿宋" w:cs="Times New Roman"/>
          <w:color w:val="auto"/>
          <w:kern w:val="2"/>
          <w:sz w:val="32"/>
          <w:szCs w:val="32"/>
          <w:lang w:val="en-US" w:eastAsia="zh-CN" w:bidi="ar-SA"/>
        </w:rPr>
        <w:t>≤</w:t>
      </w:r>
      <w:r>
        <w:rPr>
          <w:rFonts w:hint="eastAsia" w:ascii="Times New Roman" w:hAnsi="Times New Roman" w:eastAsia="仿宋_GB2312" w:cs="Times New Roman"/>
          <w:sz w:val="32"/>
          <w:szCs w:val="32"/>
          <w:highlight w:val="none"/>
          <w:lang w:val="en-US" w:eastAsia="zh-CN"/>
        </w:rPr>
        <w:t>200mg/kg；</w:t>
      </w:r>
      <w:r>
        <w:rPr>
          <w:rFonts w:hint="eastAsia" w:ascii="仿宋" w:hAnsi="仿宋" w:eastAsia="仿宋" w:cs="仿宋"/>
          <w:kern w:val="2"/>
          <w:sz w:val="32"/>
          <w:szCs w:val="32"/>
          <w:lang w:val="en-US" w:eastAsia="zh-CN" w:bidi="ar-SA"/>
        </w:rPr>
        <w:t>按照</w:t>
      </w:r>
      <w:r>
        <w:rPr>
          <w:rFonts w:hint="eastAsia" w:ascii="仿宋" w:hAnsi="仿宋" w:eastAsia="仿宋" w:cs="仿宋"/>
          <w:color w:val="auto"/>
          <w:sz w:val="32"/>
          <w:szCs w:val="32"/>
          <w:lang w:val="en-US" w:eastAsia="zh-CN"/>
        </w:rPr>
        <w:t>《食品安全国家标准 食品添加剂使用标准》（</w:t>
      </w:r>
      <w:r>
        <w:rPr>
          <w:rFonts w:hint="eastAsia" w:ascii="Times New Roman" w:hAnsi="Times New Roman" w:eastAsia="仿宋" w:cs="Times New Roman"/>
          <w:kern w:val="2"/>
          <w:sz w:val="32"/>
          <w:szCs w:val="32"/>
          <w:lang w:val="en-US" w:eastAsia="zh-CN" w:bidi="ar-SA"/>
        </w:rPr>
        <w:t>GB 2760-2014）中</w:t>
      </w:r>
      <w:r>
        <w:rPr>
          <w:rFonts w:hint="eastAsia" w:ascii="仿宋" w:hAnsi="仿宋" w:eastAsia="仿宋" w:cs="仿宋"/>
          <w:color w:val="auto"/>
          <w:sz w:val="32"/>
          <w:szCs w:val="32"/>
          <w:lang w:val="en-US" w:eastAsia="zh-CN"/>
        </w:rPr>
        <w:t>规定，</w:t>
      </w:r>
      <w:r>
        <w:rPr>
          <w:rFonts w:hint="eastAsia" w:ascii="仿宋" w:hAnsi="仿宋" w:eastAsia="仿宋" w:cs="仿宋"/>
          <w:color w:val="auto"/>
          <w:kern w:val="2"/>
          <w:sz w:val="32"/>
          <w:szCs w:val="32"/>
          <w:highlight w:val="none"/>
          <w:lang w:val="en-US" w:eastAsia="zh-CN" w:bidi="ar-SA"/>
        </w:rPr>
        <w:t>油炸面制品的铝的残留量（干样品，以Al计）限量值为</w:t>
      </w:r>
      <w:r>
        <w:rPr>
          <w:rFonts w:hint="eastAsia" w:ascii="Times New Roman" w:hAnsi="Times New Roman" w:eastAsia="仿宋" w:cs="Times New Roman"/>
          <w:color w:val="auto"/>
          <w:kern w:val="2"/>
          <w:sz w:val="32"/>
          <w:szCs w:val="32"/>
          <w:lang w:val="en-US" w:eastAsia="zh-CN" w:bidi="ar-SA"/>
        </w:rPr>
        <w:t>≤100mg/kg</w:t>
      </w:r>
      <w:r>
        <w:rPr>
          <w:rFonts w:hint="eastAsia" w:ascii="仿宋" w:hAnsi="仿宋" w:eastAsia="仿宋" w:cs="仿宋"/>
          <w:color w:val="auto"/>
          <w:kern w:val="2"/>
          <w:sz w:val="32"/>
          <w:szCs w:val="32"/>
          <w:highlight w:val="none"/>
          <w:lang w:val="en-US" w:eastAsia="zh-CN" w:bidi="ar-SA"/>
        </w:rPr>
        <w:t>。粉丝、粉条和</w:t>
      </w:r>
      <w:r>
        <w:rPr>
          <w:rFonts w:hint="eastAsia" w:ascii="仿宋" w:hAnsi="仿宋" w:eastAsia="仿宋" w:cs="仿宋"/>
          <w:color w:val="auto"/>
          <w:kern w:val="2"/>
          <w:sz w:val="32"/>
          <w:szCs w:val="32"/>
          <w:highlight w:val="none"/>
          <w:lang w:val="en-US" w:eastAsia="zh-CN" w:bidi="ar-SA"/>
        </w:rPr>
        <w:t>油炸面制品中</w:t>
      </w:r>
      <w:r>
        <w:rPr>
          <w:rFonts w:hint="eastAsia" w:ascii="仿宋" w:hAnsi="仿宋" w:eastAsia="仿宋" w:cs="仿宋"/>
          <w:kern w:val="2"/>
          <w:sz w:val="32"/>
          <w:szCs w:val="32"/>
          <w:highlight w:val="none"/>
          <w:lang w:val="en-US" w:eastAsia="zh-CN" w:bidi="ar-SA"/>
        </w:rPr>
        <w:t>铝的残留量超标的原因可能是：</w:t>
      </w:r>
      <w:r>
        <w:rPr>
          <w:rFonts w:hint="eastAsia" w:ascii="仿宋" w:hAnsi="仿宋" w:eastAsia="仿宋" w:cs="仿宋"/>
          <w:kern w:val="2"/>
          <w:sz w:val="32"/>
          <w:szCs w:val="32"/>
          <w:lang w:val="en-US" w:eastAsia="zh-CN" w:bidi="ar-SA"/>
        </w:rPr>
        <w:t>一</w:t>
      </w:r>
      <w:r>
        <w:rPr>
          <w:rFonts w:hint="eastAsia" w:ascii="仿宋" w:hAnsi="仿宋" w:eastAsia="仿宋" w:cs="仿宋"/>
          <w:strike w:val="0"/>
          <w:dstrike w:val="0"/>
          <w:kern w:val="2"/>
          <w:sz w:val="32"/>
          <w:szCs w:val="32"/>
          <w:highlight w:val="none"/>
          <w:lang w:val="en-US" w:eastAsia="zh-CN" w:bidi="ar-SA"/>
        </w:rPr>
        <w:t>是</w:t>
      </w:r>
      <w:r>
        <w:rPr>
          <w:rFonts w:hint="eastAsia" w:ascii="仿宋" w:hAnsi="仿宋" w:eastAsia="仿宋" w:cs="仿宋"/>
          <w:kern w:val="2"/>
          <w:sz w:val="32"/>
          <w:szCs w:val="32"/>
          <w:lang w:val="en-US" w:eastAsia="zh-CN" w:bidi="ar-SA"/>
        </w:rPr>
        <w:t>商家违规过量使用；二是原料带入；三是过程控制不严。</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default" w:ascii="黑体" w:eastAsia="黑体"/>
          <w:sz w:val="32"/>
          <w:szCs w:val="32"/>
          <w:lang w:val="en-US" w:eastAsia="zh-CN" w:bidi="ar"/>
        </w:rPr>
      </w:pPr>
      <w:r>
        <w:rPr>
          <w:rFonts w:hint="eastAsia" w:ascii="黑体" w:hAnsi="黑体" w:eastAsia="黑体" w:cs="黑体"/>
          <w:sz w:val="32"/>
          <w:szCs w:val="32"/>
        </w:rPr>
        <w:t>非脂乳固体</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非脂乳固体是指牛奶中除了脂肪和水分之外的物质总称（一般刚挤出的鲜牛奶的脂肪含量为3%左右）。《食品安全国家标准 灭菌乳》（GB 25190-2010）中规定，非脂乳固体在灭菌乳中的含量最低为8.1g/100g。灭菌乳中非脂乳固体不达标的原因可能是牛奶原料品质较差或生产工艺控制不严等。</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default" w:ascii="黑体" w:eastAsia="黑体"/>
          <w:sz w:val="32"/>
          <w:szCs w:val="32"/>
          <w:lang w:val="en-US" w:eastAsia="zh-CN" w:bidi="ar"/>
        </w:rPr>
      </w:pPr>
      <w:r>
        <w:rPr>
          <w:rFonts w:hint="default" w:ascii="黑体" w:eastAsia="黑体"/>
          <w:sz w:val="32"/>
          <w:szCs w:val="32"/>
          <w:lang w:val="en-US" w:eastAsia="zh-CN" w:bidi="ar"/>
        </w:rPr>
        <w:t>苯并[a]芘</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rPr>
        <w:t>苯并［</w:t>
      </w:r>
      <w:r>
        <w:rPr>
          <w:rFonts w:ascii="Times New Roman" w:hAnsi="Times New Roman" w:eastAsia="仿宋_GB2312"/>
          <w:sz w:val="32"/>
          <w:szCs w:val="32"/>
        </w:rPr>
        <w:t>a</w:t>
      </w:r>
      <w:r>
        <w:rPr>
          <w:rFonts w:hint="eastAsia" w:ascii="Times New Roman" w:hAnsi="Times New Roman" w:eastAsia="仿宋_GB2312"/>
          <w:sz w:val="32"/>
          <w:szCs w:val="32"/>
        </w:rPr>
        <w:t>］芘是一种芳烃类化合物，在环境中广泛存在，具有一定致癌性、致畸性、致突变性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《食品安全国家标准食品中污染物限量》（GB 2762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2017）中规定，油脂及其制品中苯并［a］芘最大限量值为10μg/kg。食用植物油中苯并［a］芘超标的原因，可能是油料收储、晾晒不当，从环境、包装、机械收获、运输等过程中引入污染；生产中关键工艺控制不当等。</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default" w:ascii="黑体" w:eastAsia="黑体"/>
          <w:sz w:val="32"/>
          <w:szCs w:val="32"/>
          <w:lang w:val="en-US" w:eastAsia="zh-CN" w:bidi="ar"/>
        </w:rPr>
      </w:pPr>
      <w:r>
        <w:rPr>
          <w:rFonts w:eastAsia="黑体"/>
          <w:spacing w:val="-12"/>
          <w:sz w:val="32"/>
          <w:szCs w:val="32"/>
        </w:rPr>
        <w:t>苋菜红</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苋菜红是常见合成着色剂，在现代食品业中应用广泛。《食品安全国家标准 食品添加剂使用标准》（GB 2760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2014）中规定，蜜饯凉果中苋菜红的最大使用量为0.05g/kg</w:t>
      </w:r>
      <w:r>
        <w:rPr>
          <w:rFonts w:hint="eastAsia" w:ascii="Times New Roman" w:hAnsi="Times New Roman" w:eastAsia="仿宋_GB2312" w:cs="Times New Roman"/>
          <w:sz w:val="32"/>
          <w:szCs w:val="32"/>
          <w:lang w:eastAsia="zh-CN"/>
        </w:rPr>
        <w:t>。苋菜红超标的原因可能是：一是</w:t>
      </w:r>
      <w:r>
        <w:rPr>
          <w:rFonts w:hint="eastAsia" w:ascii="仿宋" w:hAnsi="仿宋" w:eastAsia="仿宋" w:cs="仿宋"/>
          <w:kern w:val="2"/>
          <w:sz w:val="32"/>
          <w:szCs w:val="32"/>
          <w:lang w:val="en-US" w:eastAsia="zh-CN" w:bidi="ar-SA"/>
        </w:rPr>
        <w:t>商家违规过量使用；二是原料带入；三是过程控制不严。</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rPr>
        <w:t>氧氟沙星</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氧氟沙星属于氟喹诺酮类药物，因抗菌谱广、抗菌活性强等曾被广泛用于畜禽细菌性疾病的治疗和预防。《发布在食品动物中停止使用洛美沙星、培氟沙星、氧氟沙星、诺氟沙星4种兽药的决定》（农业部公告第2292号）中规定，在食品动物中停止使用氧氟沙星（动物性食品中不得检出）。乌鸡中氧氟沙星超标的原因可能是养殖户在养殖过程中违规使用相关兽药。</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default" w:ascii="黑体" w:eastAsia="黑体"/>
          <w:sz w:val="32"/>
          <w:szCs w:val="32"/>
          <w:lang w:val="en-US" w:eastAsia="zh-CN" w:bidi="ar"/>
        </w:rPr>
      </w:pPr>
      <w:r>
        <w:rPr>
          <w:rFonts w:hint="eastAsia" w:ascii="黑体" w:hAnsi="黑体" w:eastAsia="黑体" w:cs="黑体"/>
          <w:sz w:val="32"/>
          <w:szCs w:val="32"/>
        </w:rPr>
        <w:t>恩诺沙星</w:t>
      </w:r>
    </w:p>
    <w:p>
      <w:pPr>
        <w:keepNext w:val="0"/>
        <w:keepLines w:val="0"/>
        <w:pageBreakBefore w:val="0"/>
        <w:widowControl w:val="0"/>
        <w:numPr>
          <w:ilvl w:val="0"/>
          <w:numId w:val="0"/>
        </w:numPr>
        <w:kinsoku/>
        <w:wordWrap/>
        <w:overflowPunct/>
        <w:topLinePunct w:val="0"/>
        <w:bidi w:val="0"/>
        <w:snapToGrid/>
        <w:spacing w:line="600" w:lineRule="exact"/>
        <w:ind w:left="0" w:leftChars="0" w:firstLine="617" w:firstLineChars="193"/>
        <w:textAlignment w:val="auto"/>
        <w:rPr>
          <w:rFonts w:hint="eastAsia" w:ascii="Times New Roman" w:hAnsi="Times New Roman" w:eastAsia="仿宋_GB2312" w:cs="Times New Roman"/>
          <w:sz w:val="32"/>
          <w:szCs w:val="32"/>
          <w:lang w:eastAsia="zh-CN"/>
        </w:rPr>
      </w:pPr>
      <w:r>
        <w:rPr>
          <w:rFonts w:hint="eastAsia" w:eastAsia="仿宋_GB2312"/>
          <w:sz w:val="32"/>
          <w:szCs w:val="32"/>
        </w:rPr>
        <w:t>恩诺沙星属于氟喹诺酮类药物，是一类人工合成的广谱抗菌药，用于治疗动物的皮肤感染、呼吸道感染等，是动物专属用药。</w:t>
      </w:r>
      <w:r>
        <w:rPr>
          <w:rFonts w:hint="eastAsia" w:ascii="Times New Roman" w:hAnsi="Times New Roman" w:eastAsia="仿宋_GB2312" w:cs="Times New Roman"/>
          <w:sz w:val="32"/>
          <w:szCs w:val="32"/>
        </w:rPr>
        <w:t>《食品安全国家标准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31650-2019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中规定，</w:t>
      </w:r>
      <w:r>
        <w:rPr>
          <w:rFonts w:hint="eastAsia" w:eastAsia="仿宋_GB2312"/>
          <w:sz w:val="32"/>
          <w:szCs w:val="32"/>
        </w:rPr>
        <w:t>恩诺沙星</w:t>
      </w:r>
      <w:r>
        <w:rPr>
          <w:rFonts w:hint="eastAsia" w:ascii="Times New Roman" w:hAnsi="Times New Roman" w:eastAsia="仿宋_GB2312" w:cs="Times New Roman"/>
          <w:sz w:val="32"/>
          <w:szCs w:val="32"/>
          <w:lang w:eastAsia="zh-CN"/>
        </w:rPr>
        <w:t>在禽肉（产蛋期禁用）中</w:t>
      </w:r>
      <w:r>
        <w:rPr>
          <w:rFonts w:ascii="Times New Roman" w:hAnsi="Times New Roman" w:eastAsia="仿宋_GB2312" w:cs="Times New Roman"/>
          <w:sz w:val="32"/>
          <w:szCs w:val="32"/>
        </w:rPr>
        <w:t>残留限量值不得超过</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μg/kg</w:t>
      </w:r>
      <w:r>
        <w:rPr>
          <w:rFonts w:hint="eastAsia" w:ascii="Times New Roman" w:hAnsi="Times New Roman" w:eastAsia="仿宋_GB2312" w:cs="Times New Roman"/>
          <w:sz w:val="32"/>
          <w:szCs w:val="32"/>
          <w:lang w:eastAsia="zh-CN"/>
        </w:rPr>
        <w:t>。乌鸡肉中</w:t>
      </w:r>
      <w:r>
        <w:rPr>
          <w:rFonts w:hint="eastAsia" w:eastAsia="仿宋_GB2312"/>
          <w:sz w:val="32"/>
          <w:szCs w:val="32"/>
        </w:rPr>
        <w:t>恩诺沙星</w:t>
      </w:r>
      <w:r>
        <w:rPr>
          <w:rFonts w:hint="eastAsia" w:ascii="Times New Roman" w:hAnsi="Times New Roman" w:eastAsia="仿宋_GB2312" w:cs="Times New Roman"/>
          <w:sz w:val="32"/>
          <w:szCs w:val="32"/>
          <w:lang w:eastAsia="zh-CN"/>
        </w:rPr>
        <w:t>超标原因可能为养殖户的过量使用。</w:t>
      </w:r>
    </w:p>
    <w:p>
      <w:pPr>
        <w:keepNext w:val="0"/>
        <w:keepLines w:val="0"/>
        <w:pageBreakBefore w:val="0"/>
        <w:widowControl w:val="0"/>
        <w:numPr>
          <w:ilvl w:val="0"/>
          <w:numId w:val="0"/>
        </w:numPr>
        <w:kinsoku/>
        <w:wordWrap/>
        <w:overflowPunct/>
        <w:topLinePunct w:val="0"/>
        <w:bidi w:val="0"/>
        <w:snapToGrid/>
        <w:spacing w:line="600" w:lineRule="exact"/>
        <w:ind w:left="0" w:leftChars="0" w:firstLine="617" w:firstLineChars="193"/>
        <w:textAlignment w:val="auto"/>
        <w:rPr>
          <w:rFonts w:hint="eastAsia"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bidi w:val="0"/>
        <w:snapToGrid/>
        <w:spacing w:line="600" w:lineRule="exact"/>
        <w:ind w:left="0" w:leftChars="0" w:firstLine="620" w:firstLineChars="0"/>
        <w:textAlignment w:val="auto"/>
        <w:rPr>
          <w:rFonts w:hint="default" w:ascii="黑体" w:eastAsia="黑体"/>
          <w:sz w:val="32"/>
          <w:szCs w:val="32"/>
          <w:lang w:val="en-US" w:eastAsia="zh-CN" w:bidi="ar"/>
        </w:rPr>
      </w:pPr>
      <w:r>
        <w:rPr>
          <w:rFonts w:hint="default" w:ascii="黑体" w:eastAsia="黑体"/>
          <w:sz w:val="32"/>
          <w:szCs w:val="32"/>
          <w:lang w:val="en-US" w:eastAsia="zh-CN" w:bidi="ar"/>
        </w:rPr>
        <w:t>甲氧苄啶</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甲氧苄啶属于二氨基嘧啶类药物，常与磺胺类药物一同使用，以达到抗菌增效的效果，所以又称为磺胺增效剂。《食品安全国家标准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31650-2019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中规定，</w:t>
      </w:r>
      <w:r>
        <w:rPr>
          <w:rFonts w:hint="eastAsia" w:ascii="Times New Roman" w:hAnsi="Times New Roman" w:eastAsia="仿宋_GB2312" w:cs="Times New Roman"/>
          <w:sz w:val="32"/>
          <w:szCs w:val="32"/>
        </w:rPr>
        <w:t>甲氧苄啶</w:t>
      </w:r>
      <w:r>
        <w:rPr>
          <w:rFonts w:hint="eastAsia" w:ascii="Times New Roman" w:hAnsi="Times New Roman" w:eastAsia="仿宋_GB2312" w:cs="Times New Roman"/>
          <w:sz w:val="32"/>
          <w:szCs w:val="32"/>
          <w:lang w:eastAsia="zh-CN"/>
        </w:rPr>
        <w:t>在禽肉（产蛋期禁用）中</w:t>
      </w:r>
      <w:r>
        <w:rPr>
          <w:rFonts w:ascii="Times New Roman" w:hAnsi="Times New Roman" w:eastAsia="仿宋_GB2312" w:cs="Times New Roman"/>
          <w:sz w:val="32"/>
          <w:szCs w:val="32"/>
        </w:rPr>
        <w:t>残留限量值不得超过</w:t>
      </w:r>
      <w:r>
        <w:rPr>
          <w:rFonts w:hint="eastAsia" w:ascii="Times New Roman" w:hAnsi="Times New Roman" w:eastAsia="仿宋_GB2312" w:cs="Times New Roman"/>
          <w:sz w:val="32"/>
          <w:szCs w:val="32"/>
        </w:rPr>
        <w:t>50μg/kg</w:t>
      </w:r>
      <w:r>
        <w:rPr>
          <w:rFonts w:hint="eastAsia" w:ascii="Times New Roman" w:hAnsi="Times New Roman" w:eastAsia="仿宋_GB2312" w:cs="Times New Roman"/>
          <w:sz w:val="32"/>
          <w:szCs w:val="32"/>
          <w:lang w:eastAsia="zh-CN"/>
        </w:rPr>
        <w:t>。乌鸡肉中甲氧苄啶超标原因可能为养殖户的过量使用。</w:t>
      </w:r>
    </w:p>
    <w:p>
      <w:pPr>
        <w:keepNext w:val="0"/>
        <w:keepLines w:val="0"/>
        <w:pageBreakBefore w:val="0"/>
        <w:widowControl w:val="0"/>
        <w:numPr>
          <w:ilvl w:val="0"/>
          <w:numId w:val="0"/>
        </w:numPr>
        <w:kinsoku/>
        <w:wordWrap/>
        <w:overflowPunct/>
        <w:topLinePunct w:val="0"/>
        <w:bidi w:val="0"/>
        <w:snapToGrid/>
        <w:spacing w:line="600" w:lineRule="exact"/>
        <w:ind w:left="0" w:leftChars="0" w:firstLine="633" w:firstLineChars="198"/>
        <w:textAlignment w:val="auto"/>
        <w:rPr>
          <w:rFonts w:hint="eastAsia" w:ascii="Times New Roman" w:hAnsi="Times New Roman" w:eastAsia="仿宋_GB2312" w:cs="Times New Roman"/>
          <w:sz w:val="32"/>
          <w:szCs w:val="32"/>
          <w:lang w:val="en-US" w:eastAsia="zh-CN"/>
        </w:rPr>
      </w:pPr>
    </w:p>
    <w:p>
      <w:pPr>
        <w:numPr>
          <w:ilvl w:val="0"/>
          <w:numId w:val="0"/>
        </w:numPr>
        <w:spacing w:line="560" w:lineRule="exact"/>
        <w:ind w:left="0" w:leftChars="0" w:firstLine="640" w:firstLineChars="200"/>
        <w:rPr>
          <w:rFonts w:eastAsia="仿宋_GB2312"/>
          <w:sz w:val="32"/>
          <w:szCs w:val="32"/>
        </w:rPr>
      </w:pPr>
    </w:p>
    <w:p>
      <w:pPr>
        <w:spacing w:line="560" w:lineRule="exact"/>
        <w:ind w:firstLine="640" w:firstLineChars="200"/>
        <w:jc w:val="left"/>
        <w:rPr>
          <w:rFonts w:hint="eastAsia" w:ascii="Times New Roman" w:hAnsi="Times New Roman" w:eastAsia="仿宋_GB2312" w:cs="Times New Roman"/>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8944"/>
    <w:multiLevelType w:val="singleLevel"/>
    <w:tmpl w:val="0A31894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5AC1A43"/>
    <w:rsid w:val="0643453F"/>
    <w:rsid w:val="083119A6"/>
    <w:rsid w:val="08C70051"/>
    <w:rsid w:val="0A4036B4"/>
    <w:rsid w:val="0B23740C"/>
    <w:rsid w:val="0BF55D05"/>
    <w:rsid w:val="0D541D8A"/>
    <w:rsid w:val="0E3E57FB"/>
    <w:rsid w:val="0E6E3364"/>
    <w:rsid w:val="125E1B94"/>
    <w:rsid w:val="157E5278"/>
    <w:rsid w:val="169D136B"/>
    <w:rsid w:val="190A207C"/>
    <w:rsid w:val="199130D1"/>
    <w:rsid w:val="199303A5"/>
    <w:rsid w:val="1A943B45"/>
    <w:rsid w:val="1B6D47CE"/>
    <w:rsid w:val="1C0D4647"/>
    <w:rsid w:val="1F245FB8"/>
    <w:rsid w:val="20734AD8"/>
    <w:rsid w:val="217B58C1"/>
    <w:rsid w:val="218C1169"/>
    <w:rsid w:val="22EE5E6A"/>
    <w:rsid w:val="24C105FB"/>
    <w:rsid w:val="27706704"/>
    <w:rsid w:val="28926171"/>
    <w:rsid w:val="28FE5380"/>
    <w:rsid w:val="293C4333"/>
    <w:rsid w:val="2A266F86"/>
    <w:rsid w:val="2B453547"/>
    <w:rsid w:val="342C28E6"/>
    <w:rsid w:val="3A066159"/>
    <w:rsid w:val="3D066ED4"/>
    <w:rsid w:val="3D5B7861"/>
    <w:rsid w:val="3D8A31F3"/>
    <w:rsid w:val="3DA70F84"/>
    <w:rsid w:val="40DF5746"/>
    <w:rsid w:val="426B3C81"/>
    <w:rsid w:val="449A0830"/>
    <w:rsid w:val="47075DCC"/>
    <w:rsid w:val="48655E99"/>
    <w:rsid w:val="488E348C"/>
    <w:rsid w:val="4AA63504"/>
    <w:rsid w:val="4FAD0645"/>
    <w:rsid w:val="4FC70334"/>
    <w:rsid w:val="4FD60C7C"/>
    <w:rsid w:val="521E35D3"/>
    <w:rsid w:val="52C32932"/>
    <w:rsid w:val="52D4703A"/>
    <w:rsid w:val="534230F9"/>
    <w:rsid w:val="54D163A0"/>
    <w:rsid w:val="575B13D1"/>
    <w:rsid w:val="57CB2923"/>
    <w:rsid w:val="5C9E489B"/>
    <w:rsid w:val="5E0540D0"/>
    <w:rsid w:val="5F7B3A23"/>
    <w:rsid w:val="60FF6D88"/>
    <w:rsid w:val="61DD6D44"/>
    <w:rsid w:val="66325BC9"/>
    <w:rsid w:val="699D6242"/>
    <w:rsid w:val="6BA279B0"/>
    <w:rsid w:val="6BB87E7B"/>
    <w:rsid w:val="74E00729"/>
    <w:rsid w:val="75057978"/>
    <w:rsid w:val="75202347"/>
    <w:rsid w:val="76D75FC2"/>
    <w:rsid w:val="773E5EB6"/>
    <w:rsid w:val="77887501"/>
    <w:rsid w:val="77E37BF6"/>
    <w:rsid w:val="79516C02"/>
    <w:rsid w:val="7BC16283"/>
    <w:rsid w:val="7C6619F8"/>
    <w:rsid w:val="7DC149D8"/>
    <w:rsid w:val="7FE8335D"/>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0</TotalTime>
  <ScaleCrop>false</ScaleCrop>
  <LinksUpToDate>false</LinksUpToDate>
  <CharactersWithSpaces>1896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2020-12-16T09:18:27Z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